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844" w:rsidRPr="005E5F26" w:rsidRDefault="00843844" w:rsidP="008438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869DA">
        <w:rPr>
          <w:noProof/>
          <w:sz w:val="28"/>
          <w:szCs w:val="28"/>
          <w:lang w:eastAsia="en-IN"/>
        </w:rPr>
        <w:drawing>
          <wp:inline distT="0" distB="0" distL="0" distR="0">
            <wp:extent cx="803275" cy="668020"/>
            <wp:effectExtent l="19050" t="0" r="0" b="0"/>
            <wp:docPr id="19" name="Picture 2" descr="p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ulog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44" w:rsidRDefault="00843844" w:rsidP="00843844">
      <w:pPr>
        <w:pStyle w:val="NoSpacing"/>
        <w:jc w:val="center"/>
        <w:rPr>
          <w:noProof/>
          <w:sz w:val="20"/>
          <w:szCs w:val="20"/>
          <w:lang w:eastAsia="en-IN"/>
        </w:rPr>
      </w:pPr>
      <w:r w:rsidRPr="00EA3739">
        <w:rPr>
          <w:noProof/>
          <w:sz w:val="20"/>
          <w:szCs w:val="20"/>
          <w:lang w:eastAsia="en-IN"/>
        </w:rPr>
        <w:t>Est</w:t>
      </w:r>
      <w:r>
        <w:rPr>
          <w:noProof/>
          <w:sz w:val="20"/>
          <w:szCs w:val="20"/>
          <w:lang w:eastAsia="en-IN"/>
        </w:rPr>
        <w:t>d</w:t>
      </w:r>
      <w:r w:rsidRPr="00EA3739">
        <w:rPr>
          <w:noProof/>
          <w:sz w:val="20"/>
          <w:szCs w:val="20"/>
          <w:lang w:eastAsia="en-IN"/>
        </w:rPr>
        <w:t>.1917</w:t>
      </w:r>
    </w:p>
    <w:p w:rsidR="00843844" w:rsidRPr="00724636" w:rsidRDefault="00843844" w:rsidP="00843844">
      <w:pPr>
        <w:pStyle w:val="NoSpacing"/>
        <w:jc w:val="center"/>
        <w:rPr>
          <w:rFonts w:ascii="Kruti Dev 010" w:hAnsi="Kruti Dev 010"/>
          <w:noProof/>
          <w:sz w:val="44"/>
          <w:szCs w:val="44"/>
          <w:lang w:eastAsia="en-IN"/>
        </w:rPr>
      </w:pPr>
      <w:r w:rsidRPr="00724636">
        <w:rPr>
          <w:rFonts w:ascii="Kruti Dev 010" w:hAnsi="Kruti Dev 010" w:cs="Times New Roman"/>
          <w:noProof/>
          <w:sz w:val="44"/>
          <w:szCs w:val="44"/>
          <w:lang w:eastAsia="en-IN"/>
        </w:rPr>
        <w:t>iVuk fo'ofo|ky;</w:t>
      </w:r>
    </w:p>
    <w:p w:rsidR="00843844" w:rsidRPr="00E02205" w:rsidRDefault="00843844" w:rsidP="00843844">
      <w:pPr>
        <w:pStyle w:val="NoSpacing"/>
        <w:jc w:val="center"/>
        <w:rPr>
          <w:rFonts w:ascii="Algerian" w:hAnsi="Algerian"/>
          <w:noProof/>
          <w:sz w:val="28"/>
          <w:lang w:eastAsia="en-IN"/>
        </w:rPr>
      </w:pPr>
      <w:r w:rsidRPr="00E02205">
        <w:rPr>
          <w:rFonts w:ascii="Algerian" w:hAnsi="Algerian"/>
          <w:noProof/>
          <w:sz w:val="28"/>
          <w:lang w:eastAsia="en-IN"/>
        </w:rPr>
        <w:t>Patna University</w:t>
      </w:r>
    </w:p>
    <w:p w:rsidR="00843844" w:rsidRDefault="00843844" w:rsidP="00843844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43844" w:rsidRPr="00955117" w:rsidRDefault="00843844" w:rsidP="00EB257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955117">
        <w:rPr>
          <w:rFonts w:ascii="Times New Roman" w:hAnsi="Times New Roman" w:cs="Times New Roman"/>
          <w:b/>
          <w:sz w:val="30"/>
          <w:szCs w:val="30"/>
        </w:rPr>
        <w:t>CONSULTA</w:t>
      </w:r>
      <w:r w:rsidR="00C74FA2">
        <w:rPr>
          <w:rFonts w:ascii="Times New Roman" w:hAnsi="Times New Roman" w:cs="Times New Roman"/>
          <w:b/>
          <w:sz w:val="30"/>
          <w:szCs w:val="30"/>
        </w:rPr>
        <w:t>NCY</w:t>
      </w:r>
      <w:r w:rsidRPr="00955117">
        <w:rPr>
          <w:rFonts w:ascii="Times New Roman" w:hAnsi="Times New Roman" w:cs="Times New Roman"/>
          <w:b/>
          <w:sz w:val="30"/>
          <w:szCs w:val="30"/>
        </w:rPr>
        <w:t xml:space="preserve"> POLICY OF PATNA UNIVERSITY</w:t>
      </w:r>
    </w:p>
    <w:p w:rsidR="00843844" w:rsidRPr="00CC2084" w:rsidRDefault="00843844" w:rsidP="00843844">
      <w:pPr>
        <w:pStyle w:val="ListParagraph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843844" w:rsidRDefault="00843844" w:rsidP="00843844">
      <w:pPr>
        <w:pBdr>
          <w:bottom w:val="single" w:sz="6" w:space="1" w:color="auto"/>
        </w:pBdr>
        <w:spacing w:after="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</w:t>
      </w:r>
      <w:r w:rsidRPr="004C2A3D">
        <w:rPr>
          <w:rFonts w:ascii="Times New Roman" w:hAnsi="Times New Roman" w:cs="Times New Roman"/>
          <w:b/>
          <w:sz w:val="30"/>
          <w:szCs w:val="30"/>
        </w:rPr>
        <w:t xml:space="preserve">Sharing of money for </w:t>
      </w:r>
      <w:r w:rsidR="00865007">
        <w:rPr>
          <w:rFonts w:ascii="Times New Roman" w:hAnsi="Times New Roman" w:cs="Times New Roman"/>
          <w:b/>
          <w:sz w:val="30"/>
          <w:szCs w:val="30"/>
        </w:rPr>
        <w:t>supervising/</w:t>
      </w:r>
      <w:r>
        <w:rPr>
          <w:rFonts w:ascii="Times New Roman" w:hAnsi="Times New Roman" w:cs="Times New Roman"/>
          <w:b/>
          <w:sz w:val="30"/>
          <w:szCs w:val="30"/>
        </w:rPr>
        <w:t xml:space="preserve">coordinating </w:t>
      </w:r>
      <w:r w:rsidRPr="004C2A3D">
        <w:rPr>
          <w:rFonts w:ascii="Times New Roman" w:hAnsi="Times New Roman" w:cs="Times New Roman"/>
          <w:b/>
          <w:sz w:val="30"/>
          <w:szCs w:val="30"/>
        </w:rPr>
        <w:t>projects/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>remuneration received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>for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>consultancy service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>/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>honorarium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>/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>paten</w:t>
      </w:r>
      <w:r>
        <w:rPr>
          <w:rFonts w:ascii="Times New Roman" w:hAnsi="Times New Roman" w:cs="Times New Roman"/>
          <w:b/>
          <w:sz w:val="30"/>
          <w:szCs w:val="30"/>
        </w:rPr>
        <w:t>t</w:t>
      </w:r>
      <w:r w:rsidRPr="004C2A3D">
        <w:rPr>
          <w:rFonts w:ascii="Times New Roman" w:hAnsi="Times New Roman" w:cs="Times New Roman"/>
          <w:b/>
          <w:sz w:val="30"/>
          <w:szCs w:val="30"/>
        </w:rPr>
        <w:t>s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C2A3D">
        <w:rPr>
          <w:rFonts w:ascii="Times New Roman" w:hAnsi="Times New Roman" w:cs="Times New Roman"/>
          <w:b/>
          <w:sz w:val="30"/>
          <w:szCs w:val="30"/>
        </w:rPr>
        <w:t xml:space="preserve">/R &amp; D </w:t>
      </w:r>
      <w:r w:rsidR="0097069B">
        <w:rPr>
          <w:rFonts w:ascii="Times New Roman" w:hAnsi="Times New Roman" w:cs="Times New Roman"/>
          <w:b/>
          <w:sz w:val="30"/>
          <w:szCs w:val="30"/>
        </w:rPr>
        <w:t xml:space="preserve">                </w:t>
      </w:r>
      <w:r w:rsidR="00260B1F" w:rsidRPr="004C2A3D">
        <w:rPr>
          <w:rFonts w:ascii="Times New Roman" w:hAnsi="Times New Roman" w:cs="Times New Roman"/>
          <w:b/>
          <w:sz w:val="30"/>
          <w:szCs w:val="30"/>
        </w:rPr>
        <w:t>products technology</w:t>
      </w:r>
      <w:r w:rsidRPr="004C2A3D">
        <w:rPr>
          <w:rFonts w:ascii="Times New Roman" w:hAnsi="Times New Roman" w:cs="Times New Roman"/>
          <w:b/>
          <w:sz w:val="30"/>
          <w:szCs w:val="30"/>
        </w:rPr>
        <w:t xml:space="preserve"> transfer</w:t>
      </w:r>
      <w:r w:rsidR="00CA751F">
        <w:rPr>
          <w:rFonts w:ascii="Times New Roman" w:hAnsi="Times New Roman" w:cs="Times New Roman"/>
          <w:b/>
          <w:sz w:val="30"/>
          <w:szCs w:val="30"/>
        </w:rPr>
        <w:t xml:space="preserve"> and Analytical services</w:t>
      </w:r>
      <w:r w:rsidRPr="004C2A3D">
        <w:rPr>
          <w:rFonts w:ascii="Times New Roman" w:hAnsi="Times New Roman" w:cs="Times New Roman"/>
          <w:b/>
          <w:sz w:val="30"/>
          <w:szCs w:val="30"/>
        </w:rPr>
        <w:t xml:space="preserve"> etc.</w:t>
      </w:r>
      <w:r>
        <w:rPr>
          <w:rFonts w:ascii="Times New Roman" w:hAnsi="Times New Roman" w:cs="Times New Roman"/>
          <w:b/>
          <w:sz w:val="30"/>
          <w:szCs w:val="30"/>
        </w:rPr>
        <w:t>)</w:t>
      </w:r>
    </w:p>
    <w:p w:rsidR="00EB2577" w:rsidRDefault="00EB2577" w:rsidP="00843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C0999" w:rsidRDefault="00FC0999" w:rsidP="00EB257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FC09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The Faculty members of the University should be encouraged if they are offered consultancy or similar assignments while working in the University. Likewise, if the projects are supervised/coordinated by them and they receive any component of honorarium/remuneration, there should be no bar from the University on its acceptance. The money received on account of patents, R &amp; D products and technology transfers etc</w:t>
      </w:r>
      <w:r w:rsidR="00EB2577">
        <w:rPr>
          <w:rFonts w:ascii="Times New Roman" w:hAnsi="Times New Roman" w:cs="Times New Roman"/>
          <w:sz w:val="28"/>
          <w:szCs w:val="28"/>
        </w:rPr>
        <w:t>.</w:t>
      </w:r>
      <w:r w:rsidRPr="00EB2577">
        <w:rPr>
          <w:rFonts w:ascii="Times New Roman" w:hAnsi="Times New Roman" w:cs="Times New Roman"/>
          <w:sz w:val="28"/>
          <w:szCs w:val="28"/>
        </w:rPr>
        <w:t xml:space="preserve"> may be treated similar to the one received on account of rendering consultancy service or honorarium received for supervision/coordination of the projects. </w:t>
      </w:r>
      <w:r w:rsidR="00EB2577" w:rsidRPr="00EB2577">
        <w:rPr>
          <w:rFonts w:ascii="Times New Roman" w:hAnsi="Times New Roman" w:cs="Times New Roman"/>
          <w:sz w:val="28"/>
          <w:szCs w:val="28"/>
        </w:rPr>
        <w:t>Likewise,</w:t>
      </w:r>
      <w:r w:rsidRPr="00EB2577">
        <w:rPr>
          <w:rFonts w:ascii="Times New Roman" w:hAnsi="Times New Roman" w:cs="Times New Roman"/>
          <w:sz w:val="28"/>
          <w:szCs w:val="28"/>
        </w:rPr>
        <w:t xml:space="preserve"> the money offered as remuneration may be treated at par with honorarium for coordinating the projects and may thus be regulated accordingly. The guidelines for accepting consultancy assignments, honorarium/remuneration for supervising/coordinating projects, for patents and R &amp; D products </w:t>
      </w:r>
      <w:r w:rsidR="009D2D22">
        <w:rPr>
          <w:rFonts w:ascii="Times New Roman" w:hAnsi="Times New Roman" w:cs="Times New Roman"/>
          <w:sz w:val="28"/>
          <w:szCs w:val="28"/>
        </w:rPr>
        <w:t>and analy</w:t>
      </w:r>
      <w:r w:rsidR="00260B1F">
        <w:rPr>
          <w:rFonts w:ascii="Times New Roman" w:hAnsi="Times New Roman" w:cs="Times New Roman"/>
          <w:sz w:val="28"/>
          <w:szCs w:val="28"/>
        </w:rPr>
        <w:t xml:space="preserve">tical services </w:t>
      </w:r>
      <w:r w:rsidRPr="00EB2577">
        <w:rPr>
          <w:rFonts w:ascii="Times New Roman" w:hAnsi="Times New Roman" w:cs="Times New Roman"/>
          <w:sz w:val="28"/>
          <w:szCs w:val="28"/>
        </w:rPr>
        <w:t>by the teachers of the University are as under:</w:t>
      </w:r>
    </w:p>
    <w:p w:rsidR="00EB2577" w:rsidRPr="00EB2577" w:rsidRDefault="00EB2577" w:rsidP="00FC0999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FC0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 xml:space="preserve">1.The University should examine </w:t>
      </w:r>
      <w:r w:rsidR="00C74FA2">
        <w:rPr>
          <w:rFonts w:ascii="Times New Roman" w:hAnsi="Times New Roman" w:cs="Times New Roman"/>
          <w:sz w:val="28"/>
          <w:szCs w:val="28"/>
        </w:rPr>
        <w:t>the</w:t>
      </w:r>
      <w:r w:rsidRPr="00EB2577">
        <w:rPr>
          <w:rFonts w:ascii="Times New Roman" w:hAnsi="Times New Roman" w:cs="Times New Roman"/>
          <w:sz w:val="28"/>
          <w:szCs w:val="28"/>
        </w:rPr>
        <w:t xml:space="preserve"> request made by the teachers for accepting a consultative or similar assignment; honorarium/remuneration for supervision/coordination of the projects; for patents and R &amp; D products keeping </w:t>
      </w:r>
      <w:r w:rsidRPr="00EB2577">
        <w:rPr>
          <w:rFonts w:ascii="Times New Roman" w:hAnsi="Times New Roman" w:cs="Times New Roman"/>
          <w:sz w:val="28"/>
          <w:szCs w:val="28"/>
        </w:rPr>
        <w:lastRenderedPageBreak/>
        <w:t>in mind that the proposed assignment would be in the interest of the University in the long run and will not adversely affect the teacher’s work at the University.</w:t>
      </w:r>
    </w:p>
    <w:p w:rsidR="00EB2577" w:rsidRPr="00EB2577" w:rsidRDefault="00EB2577" w:rsidP="00FC0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797A" w:rsidRDefault="00843844" w:rsidP="00FC0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 xml:space="preserve">2. All the proposals for ‘Consultancy Assignments’ for coordination of Projects, for patents, R &amp; D products and technology transfers etc., when honorarium is involved, shall be examined by </w:t>
      </w:r>
      <w:r w:rsidR="00EB2577">
        <w:rPr>
          <w:rFonts w:ascii="Times New Roman" w:hAnsi="Times New Roman" w:cs="Times New Roman"/>
          <w:sz w:val="28"/>
          <w:szCs w:val="28"/>
        </w:rPr>
        <w:t xml:space="preserve">R &amp; D Cell and forwarded to </w:t>
      </w:r>
      <w:r w:rsidR="0023797A">
        <w:rPr>
          <w:rFonts w:ascii="Times New Roman" w:hAnsi="Times New Roman" w:cs="Times New Roman"/>
          <w:sz w:val="28"/>
          <w:szCs w:val="28"/>
        </w:rPr>
        <w:t xml:space="preserve">the </w:t>
      </w:r>
      <w:r w:rsidR="00EB2577">
        <w:rPr>
          <w:rFonts w:ascii="Times New Roman" w:hAnsi="Times New Roman" w:cs="Times New Roman"/>
          <w:sz w:val="28"/>
          <w:szCs w:val="28"/>
        </w:rPr>
        <w:t xml:space="preserve">Vice Chancellor for </w:t>
      </w:r>
      <w:r w:rsidR="00C573DB">
        <w:rPr>
          <w:rFonts w:ascii="Times New Roman" w:hAnsi="Times New Roman" w:cs="Times New Roman"/>
          <w:sz w:val="28"/>
          <w:szCs w:val="28"/>
        </w:rPr>
        <w:t xml:space="preserve">the </w:t>
      </w:r>
      <w:r w:rsidR="00EB2577">
        <w:rPr>
          <w:rFonts w:ascii="Times New Roman" w:hAnsi="Times New Roman" w:cs="Times New Roman"/>
          <w:sz w:val="28"/>
          <w:szCs w:val="28"/>
        </w:rPr>
        <w:t xml:space="preserve">final approval. </w:t>
      </w:r>
    </w:p>
    <w:p w:rsidR="00FC0999" w:rsidRPr="00EB2577" w:rsidRDefault="00FC0999" w:rsidP="00FC0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Pr="00EB2577" w:rsidRDefault="00843844" w:rsidP="00FC09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 xml:space="preserve">3. The fees received by the teachers on account of the above in a financial year, shall henceforth be shared between the teachers and the University in the following manner:                                               </w:t>
      </w:r>
    </w:p>
    <w:p w:rsidR="00843844" w:rsidRPr="00EB2577" w:rsidRDefault="00843844" w:rsidP="008438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4576"/>
        <w:gridCol w:w="3776"/>
      </w:tblGrid>
      <w:tr w:rsidR="00843844" w:rsidRPr="00EB2577" w:rsidTr="005A18C9">
        <w:tc>
          <w:tcPr>
            <w:tcW w:w="664" w:type="dxa"/>
          </w:tcPr>
          <w:p w:rsidR="00843844" w:rsidRPr="00EB2577" w:rsidRDefault="00843844" w:rsidP="00923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B257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</w:p>
        </w:tc>
        <w:tc>
          <w:tcPr>
            <w:tcW w:w="4576" w:type="dxa"/>
          </w:tcPr>
          <w:p w:rsidR="00843844" w:rsidRPr="00EB2577" w:rsidRDefault="005A18C9" w:rsidP="00923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 xml:space="preserve">Money received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for consultancy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776" w:type="dxa"/>
          </w:tcPr>
          <w:p w:rsidR="005A18C9" w:rsidRDefault="005A18C9" w:rsidP="005A1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>0 between the teacher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and the 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>University</w:t>
            </w:r>
          </w:p>
          <w:p w:rsidR="005A18C9" w:rsidRPr="00EB2577" w:rsidRDefault="005A18C9" w:rsidP="005A1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844" w:rsidRPr="00EB2577" w:rsidTr="005A18C9">
        <w:tc>
          <w:tcPr>
            <w:tcW w:w="664" w:type="dxa"/>
          </w:tcPr>
          <w:p w:rsidR="00843844" w:rsidRPr="00EB2577" w:rsidRDefault="00843844" w:rsidP="00923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</w:p>
        </w:tc>
        <w:tc>
          <w:tcPr>
            <w:tcW w:w="4576" w:type="dxa"/>
          </w:tcPr>
          <w:p w:rsidR="00843844" w:rsidRPr="00EB2577" w:rsidRDefault="005A18C9" w:rsidP="005A1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 xml:space="preserve">Money received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for Analysis/Testing      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776" w:type="dxa"/>
          </w:tcPr>
          <w:p w:rsidR="005A18C9" w:rsidRPr="00EB2577" w:rsidRDefault="005A18C9" w:rsidP="005A18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 xml:space="preserve">0 between the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teacher and </w:t>
            </w:r>
            <w:r w:rsidRPr="00EB2577">
              <w:rPr>
                <w:rFonts w:ascii="Times New Roman" w:hAnsi="Times New Roman" w:cs="Times New Roman"/>
                <w:sz w:val="28"/>
                <w:szCs w:val="28"/>
              </w:rPr>
              <w:t xml:space="preserve">University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</w:t>
            </w:r>
          </w:p>
          <w:p w:rsidR="00843844" w:rsidRPr="00EB2577" w:rsidRDefault="00843844" w:rsidP="0092309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844" w:rsidRPr="00EB2577" w:rsidRDefault="00843844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4.</w:t>
      </w:r>
      <w:r w:rsidR="00FC0999">
        <w:rPr>
          <w:rFonts w:ascii="Times New Roman" w:hAnsi="Times New Roman" w:cs="Times New Roman"/>
          <w:sz w:val="28"/>
          <w:szCs w:val="28"/>
        </w:rPr>
        <w:t xml:space="preserve"> </w:t>
      </w:r>
      <w:r w:rsidRPr="00FC0999">
        <w:rPr>
          <w:rFonts w:ascii="Times New Roman" w:hAnsi="Times New Roman" w:cs="Times New Roman"/>
          <w:b/>
          <w:sz w:val="28"/>
          <w:szCs w:val="28"/>
        </w:rPr>
        <w:t>Income Tax:</w:t>
      </w:r>
      <w:r w:rsidRPr="00EB2577">
        <w:rPr>
          <w:rFonts w:ascii="Times New Roman" w:hAnsi="Times New Roman" w:cs="Times New Roman"/>
          <w:sz w:val="28"/>
          <w:szCs w:val="28"/>
        </w:rPr>
        <w:t xml:space="preserve"> The fees received by the teacher on account of Consultancy,</w:t>
      </w:r>
      <w:r w:rsidR="005A18C9">
        <w:rPr>
          <w:rFonts w:ascii="Times New Roman" w:hAnsi="Times New Roman" w:cs="Times New Roman"/>
          <w:sz w:val="28"/>
          <w:szCs w:val="28"/>
        </w:rPr>
        <w:t xml:space="preserve"> </w:t>
      </w:r>
      <w:r w:rsidRPr="00EB2577">
        <w:rPr>
          <w:rFonts w:ascii="Times New Roman" w:hAnsi="Times New Roman" w:cs="Times New Roman"/>
          <w:sz w:val="28"/>
          <w:szCs w:val="28"/>
        </w:rPr>
        <w:t>Patents, R &amp; D, Information/Technology transfer,</w:t>
      </w:r>
      <w:r w:rsidR="005A18C9">
        <w:rPr>
          <w:rFonts w:ascii="Times New Roman" w:hAnsi="Times New Roman" w:cs="Times New Roman"/>
          <w:sz w:val="28"/>
          <w:szCs w:val="28"/>
        </w:rPr>
        <w:t xml:space="preserve"> Analysis</w:t>
      </w:r>
      <w:r w:rsidRPr="00EB2577">
        <w:rPr>
          <w:rFonts w:ascii="Times New Roman" w:hAnsi="Times New Roman" w:cs="Times New Roman"/>
          <w:sz w:val="28"/>
          <w:szCs w:val="28"/>
        </w:rPr>
        <w:t xml:space="preserve"> etc. shall be liable for income tax deduction at source.</w:t>
      </w:r>
    </w:p>
    <w:p w:rsidR="00843844" w:rsidRPr="00EB2577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5.The following shall, however, not be construed as consultancy work for the purpose of sharing the fee received by an employee:</w:t>
      </w:r>
    </w:p>
    <w:p w:rsidR="00843844" w:rsidRPr="00EB2577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B2577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EB2577">
        <w:rPr>
          <w:rFonts w:ascii="Times New Roman" w:hAnsi="Times New Roman" w:cs="Times New Roman"/>
          <w:sz w:val="28"/>
          <w:szCs w:val="28"/>
        </w:rPr>
        <w:t>) Fees received from recognised Universities and Research Institutions, Statutory Bodies, Autonomous Bodies of Public Sector Undertakings wholly or substantially owned or controlled or funded /subsidized by Government for evaluation, selection, lectures and committee work;</w:t>
      </w:r>
    </w:p>
    <w:p w:rsidR="00843844" w:rsidRPr="00EB2577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lastRenderedPageBreak/>
        <w:t>(ii) Amount received as award/prizes in recognition of academic cultural or social achievement;</w:t>
      </w:r>
    </w:p>
    <w:p w:rsidR="00843844" w:rsidRPr="00EB2577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(iii) Income/honorarium/royalty from writing books, papers, articles and delivering lectures on literary, cultural, artistic, technological and scientific subjects; and</w:t>
      </w:r>
    </w:p>
    <w:p w:rsidR="00843844" w:rsidRPr="00EB2577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 xml:space="preserve">(iv) Income for participation in theatre, dance and music performances as well as participation/ curation </w:t>
      </w:r>
      <w:r w:rsidR="0023797A" w:rsidRPr="00EB2577">
        <w:rPr>
          <w:rFonts w:ascii="Times New Roman" w:hAnsi="Times New Roman" w:cs="Times New Roman"/>
          <w:sz w:val="28"/>
          <w:szCs w:val="28"/>
        </w:rPr>
        <w:t>of exhibitions</w:t>
      </w:r>
      <w:r w:rsidRPr="00EB2577">
        <w:rPr>
          <w:rFonts w:ascii="Times New Roman" w:hAnsi="Times New Roman" w:cs="Times New Roman"/>
          <w:sz w:val="28"/>
          <w:szCs w:val="28"/>
        </w:rPr>
        <w:t>.</w:t>
      </w:r>
    </w:p>
    <w:p w:rsidR="00843844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(v) Income from participation in sports, games and athletic activities as players, referees, umpires or managers of the teams.</w:t>
      </w:r>
    </w:p>
    <w:p w:rsidR="00843844" w:rsidRPr="00EB2577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6. All proposals concerning Consultancy Assignments, supervision/coordination of projects, patents, R &amp; D products and technology/</w:t>
      </w:r>
      <w:r w:rsidR="005A18C9">
        <w:rPr>
          <w:rFonts w:ascii="Times New Roman" w:hAnsi="Times New Roman" w:cs="Times New Roman"/>
          <w:sz w:val="28"/>
          <w:szCs w:val="28"/>
        </w:rPr>
        <w:t>Analysis/</w:t>
      </w:r>
      <w:r w:rsidRPr="00EB2577">
        <w:rPr>
          <w:rFonts w:ascii="Times New Roman" w:hAnsi="Times New Roman" w:cs="Times New Roman"/>
          <w:sz w:val="28"/>
          <w:szCs w:val="28"/>
        </w:rPr>
        <w:t>information transfers etc. need the approval of the University before they are submitted to the granting agencies. However, it is incumbent on the University to clear proposals within 1</w:t>
      </w:r>
      <w:r w:rsidR="0023797A">
        <w:rPr>
          <w:rFonts w:ascii="Times New Roman" w:hAnsi="Times New Roman" w:cs="Times New Roman"/>
          <w:sz w:val="28"/>
          <w:szCs w:val="28"/>
        </w:rPr>
        <w:t>5</w:t>
      </w:r>
      <w:r w:rsidRPr="00EB2577">
        <w:rPr>
          <w:rFonts w:ascii="Times New Roman" w:hAnsi="Times New Roman" w:cs="Times New Roman"/>
          <w:sz w:val="28"/>
          <w:szCs w:val="28"/>
        </w:rPr>
        <w:t xml:space="preserve"> days of its submission failing which the faculty members may send an advance proposal to the funding agency directly.</w:t>
      </w:r>
    </w:p>
    <w:p w:rsidR="00843844" w:rsidRPr="00EB2577" w:rsidRDefault="00843844" w:rsidP="00FC09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2577">
        <w:rPr>
          <w:rFonts w:ascii="Times New Roman" w:hAnsi="Times New Roman" w:cs="Times New Roman"/>
          <w:sz w:val="28"/>
          <w:szCs w:val="28"/>
        </w:rPr>
        <w:t>7. These guidelines shall also be applicable to the non-teaching employees of the University who undertake such assignments subject to the condition that the work related to these assignments will not be undertaken during office hours.</w:t>
      </w:r>
    </w:p>
    <w:p w:rsidR="00843844" w:rsidRDefault="00843844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692" w:rsidRDefault="00295692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692" w:rsidRDefault="00295692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692" w:rsidRDefault="00295692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692" w:rsidRDefault="00295692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692" w:rsidRDefault="00295692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5692" w:rsidRDefault="00295692" w:rsidP="002956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95692">
        <w:rPr>
          <w:rFonts w:ascii="Times New Roman" w:hAnsi="Times New Roman" w:cs="Times New Roman"/>
          <w:b/>
          <w:sz w:val="32"/>
          <w:szCs w:val="32"/>
        </w:rPr>
        <w:t>Some Other Policies of the University</w:t>
      </w:r>
    </w:p>
    <w:p w:rsidR="007708A2" w:rsidRPr="00295692" w:rsidRDefault="007708A2" w:rsidP="0029569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95692" w:rsidRPr="00295692" w:rsidRDefault="00295692" w:rsidP="007708A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692">
        <w:rPr>
          <w:rFonts w:ascii="Times New Roman" w:hAnsi="Times New Roman" w:cs="Times New Roman"/>
          <w:b/>
          <w:sz w:val="28"/>
          <w:szCs w:val="28"/>
        </w:rPr>
        <w:t>Research and Development Policy</w:t>
      </w:r>
    </w:p>
    <w:p w:rsidR="00295692" w:rsidRDefault="00295692" w:rsidP="007708A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 Policy</w:t>
      </w:r>
    </w:p>
    <w:p w:rsidR="00295692" w:rsidRDefault="00295692" w:rsidP="007708A2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Established system and procedures for maintaining and utilizing physical, academic and support facilities-Laboratory, Library, Sports Complex, Computers, Classroom etc.</w:t>
      </w:r>
    </w:p>
    <w:p w:rsidR="007708A2" w:rsidRDefault="007708A2" w:rsidP="00770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08A2" w:rsidRDefault="007708A2" w:rsidP="007708A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……………………………………………………………………………………</w:t>
      </w:r>
    </w:p>
    <w:p w:rsidR="007708A2" w:rsidRPr="007708A2" w:rsidRDefault="007708A2" w:rsidP="007708A2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08A2">
        <w:rPr>
          <w:rFonts w:ascii="Times New Roman" w:hAnsi="Times New Roman" w:cs="Times New Roman"/>
          <w:b/>
          <w:sz w:val="32"/>
          <w:szCs w:val="32"/>
        </w:rPr>
        <w:t>Refund of admission fee</w:t>
      </w:r>
    </w:p>
    <w:p w:rsidR="007708A2" w:rsidRDefault="007708A2" w:rsidP="0077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Before the commencement of classes: </w:t>
      </w:r>
      <w:r w:rsidRPr="007708A2">
        <w:rPr>
          <w:rFonts w:ascii="Times New Roman" w:hAnsi="Times New Roman" w:cs="Times New Roman"/>
          <w:sz w:val="28"/>
          <w:szCs w:val="28"/>
        </w:rPr>
        <w:t>A sum of Rs. 500/- will be deducted and remaining amount will be refunded</w:t>
      </w:r>
      <w:r>
        <w:rPr>
          <w:rFonts w:ascii="Times New Roman" w:hAnsi="Times New Roman" w:cs="Times New Roman"/>
          <w:sz w:val="28"/>
          <w:szCs w:val="28"/>
        </w:rPr>
        <w:t xml:space="preserve"> to candidates.</w:t>
      </w:r>
    </w:p>
    <w:p w:rsidR="007708A2" w:rsidRPr="007708A2" w:rsidRDefault="007708A2" w:rsidP="007708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708A2">
        <w:rPr>
          <w:rFonts w:ascii="Times New Roman" w:hAnsi="Times New Roman" w:cs="Times New Roman"/>
          <w:b/>
          <w:sz w:val="28"/>
          <w:szCs w:val="28"/>
        </w:rPr>
        <w:t xml:space="preserve">After </w:t>
      </w:r>
      <w:bookmarkStart w:id="0" w:name="_GoBack"/>
      <w:bookmarkEnd w:id="0"/>
      <w:r w:rsidRPr="007708A2">
        <w:rPr>
          <w:rFonts w:ascii="Times New Roman" w:hAnsi="Times New Roman" w:cs="Times New Roman"/>
          <w:b/>
          <w:sz w:val="28"/>
          <w:szCs w:val="28"/>
        </w:rPr>
        <w:t xml:space="preserve"> Induction</w:t>
      </w:r>
      <w:proofErr w:type="gramEnd"/>
      <w:r w:rsidRPr="007708A2">
        <w:rPr>
          <w:rFonts w:ascii="Times New Roman" w:hAnsi="Times New Roman" w:cs="Times New Roman"/>
          <w:b/>
          <w:sz w:val="28"/>
          <w:szCs w:val="28"/>
        </w:rPr>
        <w:t xml:space="preserve"> programme/commencement o</w:t>
      </w:r>
      <w:r>
        <w:rPr>
          <w:rFonts w:ascii="Times New Roman" w:hAnsi="Times New Roman" w:cs="Times New Roman"/>
          <w:b/>
          <w:sz w:val="28"/>
          <w:szCs w:val="28"/>
        </w:rPr>
        <w:t xml:space="preserve">f </w:t>
      </w:r>
      <w:r w:rsidRPr="007708A2">
        <w:rPr>
          <w:rFonts w:ascii="Times New Roman" w:hAnsi="Times New Roman" w:cs="Times New Roman"/>
          <w:b/>
          <w:sz w:val="28"/>
          <w:szCs w:val="28"/>
        </w:rPr>
        <w:t>classes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708A2">
        <w:rPr>
          <w:rFonts w:ascii="Times New Roman" w:hAnsi="Times New Roman" w:cs="Times New Roman"/>
          <w:sz w:val="28"/>
          <w:szCs w:val="28"/>
        </w:rPr>
        <w:t>No fee will be refunded</w:t>
      </w:r>
    </w:p>
    <w:p w:rsidR="00843844" w:rsidRDefault="00843844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84384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3844" w:rsidRDefault="00843844" w:rsidP="00843844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FC0CE3" w:rsidRDefault="004A2148"/>
    <w:sectPr w:rsidR="00FC0CE3" w:rsidSect="00E265DE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148" w:rsidRDefault="004A2148" w:rsidP="00EB1FDD">
      <w:pPr>
        <w:spacing w:after="0" w:line="240" w:lineRule="auto"/>
      </w:pPr>
      <w:r>
        <w:separator/>
      </w:r>
    </w:p>
  </w:endnote>
  <w:endnote w:type="continuationSeparator" w:id="0">
    <w:p w:rsidR="004A2148" w:rsidRDefault="004A2148" w:rsidP="00EB1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377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1FDD" w:rsidRDefault="00EB1FD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1FDD" w:rsidRDefault="00EB1F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148" w:rsidRDefault="004A2148" w:rsidP="00EB1FDD">
      <w:pPr>
        <w:spacing w:after="0" w:line="240" w:lineRule="auto"/>
      </w:pPr>
      <w:r>
        <w:separator/>
      </w:r>
    </w:p>
  </w:footnote>
  <w:footnote w:type="continuationSeparator" w:id="0">
    <w:p w:rsidR="004A2148" w:rsidRDefault="004A2148" w:rsidP="00EB1F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0183F"/>
    <w:multiLevelType w:val="hybridMultilevel"/>
    <w:tmpl w:val="C3FE667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844"/>
    <w:rsid w:val="00047A00"/>
    <w:rsid w:val="00087F4E"/>
    <w:rsid w:val="00130369"/>
    <w:rsid w:val="001A7514"/>
    <w:rsid w:val="0023797A"/>
    <w:rsid w:val="00260B1F"/>
    <w:rsid w:val="00295692"/>
    <w:rsid w:val="002F648B"/>
    <w:rsid w:val="00397A17"/>
    <w:rsid w:val="004A2148"/>
    <w:rsid w:val="005A18C9"/>
    <w:rsid w:val="005F54D9"/>
    <w:rsid w:val="007708A2"/>
    <w:rsid w:val="0077130B"/>
    <w:rsid w:val="00780533"/>
    <w:rsid w:val="008328D1"/>
    <w:rsid w:val="008424C6"/>
    <w:rsid w:val="00843844"/>
    <w:rsid w:val="00865007"/>
    <w:rsid w:val="008B5E85"/>
    <w:rsid w:val="0097069B"/>
    <w:rsid w:val="009D2D22"/>
    <w:rsid w:val="009F4849"/>
    <w:rsid w:val="00B433C6"/>
    <w:rsid w:val="00C566DD"/>
    <w:rsid w:val="00C573DB"/>
    <w:rsid w:val="00C74FA2"/>
    <w:rsid w:val="00CA751F"/>
    <w:rsid w:val="00CF7169"/>
    <w:rsid w:val="00DC0BA1"/>
    <w:rsid w:val="00E265DE"/>
    <w:rsid w:val="00EB1FDD"/>
    <w:rsid w:val="00EB2577"/>
    <w:rsid w:val="00EF7427"/>
    <w:rsid w:val="00F4076B"/>
    <w:rsid w:val="00F834CE"/>
    <w:rsid w:val="00FC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845D7"/>
  <w15:docId w15:val="{A95F232E-CD10-4F3C-A410-C433E5F3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3844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3844"/>
    <w:pPr>
      <w:spacing w:after="0" w:line="240" w:lineRule="auto"/>
    </w:pPr>
    <w:rPr>
      <w:rFonts w:eastAsia="MS Mincho"/>
    </w:rPr>
  </w:style>
  <w:style w:type="paragraph" w:styleId="ListParagraph">
    <w:name w:val="List Paragraph"/>
    <w:basedOn w:val="Normal"/>
    <w:uiPriority w:val="34"/>
    <w:qFormat/>
    <w:rsid w:val="00843844"/>
    <w:pPr>
      <w:ind w:left="720"/>
      <w:contextualSpacing/>
    </w:pPr>
  </w:style>
  <w:style w:type="table" w:styleId="TableGrid">
    <w:name w:val="Table Grid"/>
    <w:basedOn w:val="TableNormal"/>
    <w:uiPriority w:val="59"/>
    <w:rsid w:val="008438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3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844"/>
    <w:rPr>
      <w:rFonts w:ascii="Tahoma" w:eastAsia="MS Mincho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FDD"/>
    <w:rPr>
      <w:rFonts w:eastAsia="MS Mincho"/>
    </w:rPr>
  </w:style>
  <w:style w:type="paragraph" w:styleId="Footer">
    <w:name w:val="footer"/>
    <w:basedOn w:val="Normal"/>
    <w:link w:val="FooterChar"/>
    <w:uiPriority w:val="99"/>
    <w:unhideWhenUsed/>
    <w:rsid w:val="00EB1F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FDD"/>
    <w:rPr>
      <w:rFonts w:eastAsia="MS Minch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683</Words>
  <Characters>4015</Characters>
  <Application>Microsoft Office Word</Application>
  <DocSecurity>0</DocSecurity>
  <Lines>267</Lines>
  <Paragraphs>146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</dc:creator>
  <cp:lastModifiedBy>DELL</cp:lastModifiedBy>
  <cp:revision>9</cp:revision>
  <cp:lastPrinted>2023-04-08T06:30:00Z</cp:lastPrinted>
  <dcterms:created xsi:type="dcterms:W3CDTF">2023-04-06T12:46:00Z</dcterms:created>
  <dcterms:modified xsi:type="dcterms:W3CDTF">2023-04-25T12:26:00Z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062d66d7cbf199229a56f2fe59c05aef6a62d450050280a2b9bc4b7d0d278936</vt:lpwstr>
  </property>
</Properties>
</file>